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12CA" w14:textId="44FCEF6B" w:rsidR="001C386B" w:rsidRDefault="00604C6E">
      <w:pPr>
        <w:tabs>
          <w:tab w:val="center" w:pos="4536"/>
          <w:tab w:val="left" w:pos="6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EXPANDIDO </w:t>
      </w:r>
    </w:p>
    <w:p w14:paraId="578FC3D2" w14:textId="77777777" w:rsidR="001C386B" w:rsidRDefault="001C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D7B86" w14:textId="4C60182E" w:rsidR="00C6721A" w:rsidRDefault="00251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REGULANDO IA</w:t>
      </w:r>
      <w:r w:rsidR="00F42E67">
        <w:rPr>
          <w:rFonts w:ascii="Times New Roman" w:eastAsia="Times New Roman" w:hAnsi="Times New Roman" w:cs="Times New Roman"/>
          <w:b/>
          <w:sz w:val="28"/>
          <w:szCs w:val="28"/>
        </w:rPr>
        <w:t xml:space="preserve"> E TRABALHO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6721A">
        <w:rPr>
          <w:rFonts w:ascii="Times New Roman" w:eastAsia="Times New Roman" w:hAnsi="Times New Roman" w:cs="Times New Roman"/>
          <w:b/>
          <w:sz w:val="28"/>
          <w:szCs w:val="28"/>
        </w:rPr>
        <w:t xml:space="preserve">INICIATIVAS </w:t>
      </w:r>
      <w:r w:rsidR="00B72F17">
        <w:rPr>
          <w:rFonts w:ascii="Times New Roman" w:eastAsia="Times New Roman" w:hAnsi="Times New Roman" w:cs="Times New Roman"/>
          <w:b/>
          <w:sz w:val="28"/>
          <w:szCs w:val="28"/>
        </w:rPr>
        <w:t>RECENTES</w:t>
      </w:r>
      <w:r w:rsidR="00C6721A">
        <w:rPr>
          <w:rFonts w:ascii="Times New Roman" w:eastAsia="Times New Roman" w:hAnsi="Times New Roman" w:cs="Times New Roman"/>
          <w:b/>
          <w:sz w:val="28"/>
          <w:szCs w:val="28"/>
        </w:rPr>
        <w:t xml:space="preserve"> E</w:t>
      </w:r>
    </w:p>
    <w:p w14:paraId="41583378" w14:textId="12DF68A0" w:rsidR="001C386B" w:rsidRDefault="00B51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DESAFIOS AOS TRABALHADORES</w:t>
      </w:r>
      <w:r w:rsidR="002519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4C6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0FE49B3" w14:textId="77777777" w:rsidR="001C386B" w:rsidRDefault="001C386B" w:rsidP="00EB3C4F">
      <w:pPr>
        <w:tabs>
          <w:tab w:val="left" w:pos="3485"/>
          <w:tab w:val="right" w:pos="9072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E0D4D" w14:textId="77777777" w:rsidR="001C386B" w:rsidRDefault="001C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1226F" w14:textId="5240AAEB" w:rsidR="001C386B" w:rsidRDefault="00EB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Jonas Chagas Lúcio Valente</w:t>
      </w:r>
      <w:r w:rsidR="00604C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02CAFF" w14:textId="22E55FEE" w:rsidR="001C386B" w:rsidRDefault="00EB3C4F">
      <w:pPr>
        <w:spacing w:after="0" w:line="240" w:lineRule="auto"/>
        <w:ind w:right="-2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Instituto de Internet de Oxford</w:t>
      </w:r>
    </w:p>
    <w:p w14:paraId="37328E33" w14:textId="77777777" w:rsidR="001C386B" w:rsidRDefault="001C386B">
      <w:pPr>
        <w:tabs>
          <w:tab w:val="left" w:pos="3485"/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7BF8C36" w14:textId="739F1802" w:rsidR="001C386B" w:rsidRDefault="001C386B">
      <w:pPr>
        <w:spacing w:after="0" w:line="240" w:lineRule="auto"/>
        <w:ind w:right="-2"/>
        <w:jc w:val="center"/>
      </w:pPr>
      <w:bookmarkStart w:id="0" w:name="_gjdgxs" w:colFirst="0" w:colLast="0"/>
      <w:bookmarkEnd w:id="0"/>
    </w:p>
    <w:p w14:paraId="2A72B302" w14:textId="77777777" w:rsidR="001C386B" w:rsidRDefault="001C386B">
      <w:pPr>
        <w:tabs>
          <w:tab w:val="left" w:pos="3485"/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4A20D5" w14:textId="77777777" w:rsidR="001C386B" w:rsidRDefault="001C386B">
      <w:pPr>
        <w:tabs>
          <w:tab w:val="center" w:pos="4536"/>
          <w:tab w:val="left" w:pos="6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A3B55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09AFE644" w14:textId="76D7C2E4" w:rsidR="006D6834" w:rsidRDefault="003349D5" w:rsidP="00EB3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Inteligência </w:t>
      </w:r>
      <w:r w:rsidR="00E43CF8">
        <w:rPr>
          <w:rFonts w:ascii="Times New Roman" w:eastAsia="Times New Roman" w:hAnsi="Times New Roman" w:cs="Times New Roman"/>
          <w:color w:val="000000"/>
          <w:sz w:val="24"/>
          <w:szCs w:val="24"/>
        </w:rPr>
        <w:t>Artificial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</w:t>
      </w:r>
      <w:r w:rsidR="00D77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D77CBC">
        <w:rPr>
          <w:rFonts w:ascii="Times New Roman" w:eastAsia="Times New Roman" w:hAnsi="Times New Roman" w:cs="Times New Roman"/>
          <w:color w:val="000000"/>
          <w:sz w:val="24"/>
          <w:szCs w:val="24"/>
        </w:rPr>
        <w:t>gando</w:t>
      </w:r>
      <w:proofErr w:type="spellEnd"/>
      <w:r w:rsidR="00D77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visibilidade nos últimos anos em diversas esferas da sociedade. Diversos temas têm sido empregados para denominar essa </w:t>
      </w:r>
      <w:r w:rsidR="0068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explosão </w:t>
      </w:r>
      <w:r w:rsidR="00E43CF8">
        <w:rPr>
          <w:rFonts w:ascii="Times New Roman" w:eastAsia="Times New Roman" w:hAnsi="Times New Roman" w:cs="Times New Roman"/>
          <w:color w:val="000000"/>
          <w:sz w:val="24"/>
          <w:szCs w:val="24"/>
        </w:rPr>
        <w:t>desse</w:t>
      </w:r>
      <w:r w:rsidR="0068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 de tecnologias tanto no uso em diferentes setores quanto da atenção sobre o tema na academia, entre governos e </w:t>
      </w:r>
      <w:r w:rsidR="00801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sociedade civil. Enquanto alguns autores falam em uma primavera da IA, outros observam essa evolução recente de forma mais crítica, como um “hype” marcado pelo descompasso entre </w:t>
      </w:r>
      <w:r w:rsidR="006D6834">
        <w:rPr>
          <w:rFonts w:ascii="Times New Roman" w:eastAsia="Times New Roman" w:hAnsi="Times New Roman" w:cs="Times New Roman"/>
          <w:color w:val="000000"/>
          <w:sz w:val="24"/>
          <w:szCs w:val="24"/>
        </w:rPr>
        <w:t>as promessas e expectativas socialmente construídas, de um lado, e a evolução real da adoção de IA, do outro.</w:t>
      </w:r>
    </w:p>
    <w:p w14:paraId="04EB22D2" w14:textId="5FD8B71F" w:rsidR="00AC395F" w:rsidRDefault="00EF44C9" w:rsidP="00EB3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temática da</w:t>
      </w:r>
      <w:r w:rsidR="005E4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IA </w:t>
      </w:r>
      <w:proofErr w:type="gramStart"/>
      <w:r w:rsidR="005E484E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gramEnd"/>
      <w:r w:rsidR="005E4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longe de ser nova. Pesquisadores vêm estudando o tema desde a metade do século XX. </w:t>
      </w:r>
      <w:r w:rsidR="00AC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Isso gerou uma profusão de definições e abordagens sobre este objeto de </w:t>
      </w:r>
      <w:r w:rsidR="00E43CF8">
        <w:rPr>
          <w:rFonts w:ascii="Times New Roman" w:eastAsia="Times New Roman" w:hAnsi="Times New Roman" w:cs="Times New Roman"/>
          <w:color w:val="000000"/>
          <w:sz w:val="24"/>
          <w:szCs w:val="24"/>
        </w:rPr>
        <w:t>pesquisa</w:t>
      </w:r>
      <w:r w:rsidR="00AC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C395F" w:rsidRPr="00AC395F">
        <w:rPr>
          <w:rFonts w:ascii="Times New Roman" w:eastAsia="Times New Roman" w:hAnsi="Times New Roman" w:cs="Times New Roman"/>
          <w:color w:val="000000"/>
          <w:sz w:val="24"/>
          <w:szCs w:val="24"/>
        </w:rPr>
        <w:t>Frankish</w:t>
      </w:r>
      <w:proofErr w:type="spellEnd"/>
      <w:r w:rsidR="00AC395F" w:rsidRPr="00AC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Ramsey (2014, p. 1) definem Inteligência artificial como uma “abordagem transdisciplinar para o entendimento, modelagem e replicação de processos inteligentes e cognitivos invocando princípios e dispositivos computacionais, matemáticos, lógicos, mecânicos e biológicos”</w:t>
      </w:r>
      <w:r w:rsidR="00AC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2CE300A" w14:textId="0B864BBE" w:rsidR="00A5014C" w:rsidRDefault="00EF44C9" w:rsidP="003331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Entretanto, esse ganho de importância é sim mais recente e vem </w:t>
      </w:r>
      <w:r w:rsidR="0030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acompanhado de um movimento de avanço do uso desses sistemas nos mais variados setores, da saúde às finanças, especialmente pelas Tecnologias da Informação e da Comunicação (TICs). O lançamento de </w:t>
      </w:r>
      <w:r w:rsidR="00A3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sistemas de IA generativa como o </w:t>
      </w:r>
      <w:proofErr w:type="spellStart"/>
      <w:r w:rsidR="00A34030">
        <w:rPr>
          <w:rFonts w:ascii="Times New Roman" w:eastAsia="Times New Roman" w:hAnsi="Times New Roman" w:cs="Times New Roman"/>
          <w:color w:val="000000"/>
          <w:sz w:val="24"/>
          <w:szCs w:val="24"/>
        </w:rPr>
        <w:t>chatGPT</w:t>
      </w:r>
      <w:proofErr w:type="spellEnd"/>
      <w:r w:rsidR="00A3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impulsionaram o uso dessas tecnologias por usuários dos mais variados tipos em ações diretas, </w:t>
      </w:r>
      <w:r w:rsidR="00EB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fazendo com que a tecnologia ganhasse aplicações de uso cotidiano com </w:t>
      </w:r>
      <w:r w:rsidR="00E43CF8">
        <w:rPr>
          <w:rFonts w:ascii="Times New Roman" w:eastAsia="Times New Roman" w:hAnsi="Times New Roman" w:cs="Times New Roman"/>
          <w:color w:val="000000"/>
          <w:sz w:val="24"/>
          <w:szCs w:val="24"/>
        </w:rPr>
        <w:t>interface</w:t>
      </w:r>
      <w:r w:rsidR="00EB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direta com esses indivíduos, e não como parte de serviços (como já eram sistemas de IA </w:t>
      </w:r>
      <w:r w:rsidR="00F579FF">
        <w:rPr>
          <w:rFonts w:ascii="Times New Roman" w:eastAsia="Times New Roman" w:hAnsi="Times New Roman" w:cs="Times New Roman"/>
          <w:color w:val="000000"/>
          <w:sz w:val="24"/>
          <w:szCs w:val="24"/>
        </w:rPr>
        <w:t>na moderação de conteúdo de redes sociais, por exemplo). Em 2024, o ChatGPT chegou a 200 milhões de usuários semanais, dobrando o número de um ano antes (Reuters, 2024)</w:t>
      </w:r>
      <w:r w:rsidR="00A501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EA20C4" w14:textId="3EC5A425" w:rsidR="008A792E" w:rsidRDefault="00F7310D" w:rsidP="007A6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Entre os vários setores</w:t>
      </w:r>
      <w:r w:rsidR="00C2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afetados, um central que tem levantado debates é o do trabalho. Transformações causadas pela IA </w:t>
      </w:r>
      <w:r w:rsidR="00E43CF8">
        <w:rPr>
          <w:rFonts w:ascii="Times New Roman" w:eastAsia="Times New Roman" w:hAnsi="Times New Roman" w:cs="Times New Roman"/>
          <w:color w:val="000000"/>
          <w:sz w:val="24"/>
          <w:szCs w:val="24"/>
        </w:rPr>
        <w:t>constituem</w:t>
      </w:r>
      <w:r w:rsidR="00C30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novo patamar do já histórico debate sobre automação nos processos de trabalho. Assim como este debate foi historicamente marcado</w:t>
      </w:r>
      <w:r w:rsidR="005E4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0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pelas previsões e análises sobre os impactos quantitativos e qualitativos (Frey e Osbourne, 2013), no caso da IA também </w:t>
      </w:r>
      <w:r w:rsidR="00DA3D44">
        <w:rPr>
          <w:rFonts w:ascii="Times New Roman" w:eastAsia="Times New Roman" w:hAnsi="Times New Roman" w:cs="Times New Roman"/>
          <w:color w:val="000000"/>
          <w:sz w:val="24"/>
          <w:szCs w:val="24"/>
        </w:rPr>
        <w:t>se multiplicam estudos sobre o tema, ainda longe de conclusões.</w:t>
      </w:r>
      <w:r w:rsidR="00443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A5F" w:rsidRPr="007A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seu relatório OCDE </w:t>
      </w:r>
      <w:proofErr w:type="spellStart"/>
      <w:r w:rsidR="007A6A5F" w:rsidRPr="007A6A5F">
        <w:rPr>
          <w:rFonts w:ascii="Times New Roman" w:eastAsia="Times New Roman" w:hAnsi="Times New Roman" w:cs="Times New Roman"/>
          <w:color w:val="000000"/>
          <w:sz w:val="24"/>
          <w:szCs w:val="24"/>
        </w:rPr>
        <w:t>Employment</w:t>
      </w:r>
      <w:proofErr w:type="spellEnd"/>
      <w:r w:rsidR="007A6A5F" w:rsidRPr="007A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Outlook 2023 (OCDE, 2023), a Organização para a Cooperação e Desenvolvimento Econômico também analisou o panorama entre IA e trabalho. </w:t>
      </w:r>
      <w:r w:rsidR="00730E3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A6A5F" w:rsidRPr="007A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relatório da OCDE apontou que as ocupações vinculadas a competências mais sofisticadas tendem a ser mais afetadas, em tarefas não-rotineiras, cognitivas, ordenamento e processamento de informação e de serviços profissionais. No índice criado pelos autores, ocupações como gerentes, executivos e engenheiros teriam uma exposição de mais de 8 em uma escala de 0 a 10. Já outras ocupações vinculadas à limpeza e a trabalhos manuais estão entre 2 e 4 nesta escala.</w:t>
      </w:r>
      <w:r w:rsidR="005D6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Já outros autores como </w:t>
      </w:r>
      <w:proofErr w:type="spellStart"/>
      <w:r w:rsidR="00730E3B">
        <w:rPr>
          <w:rFonts w:ascii="Times New Roman" w:eastAsia="Times New Roman" w:hAnsi="Times New Roman" w:cs="Times New Roman"/>
          <w:color w:val="000000"/>
          <w:sz w:val="24"/>
          <w:szCs w:val="24"/>
        </w:rPr>
        <w:t>Benanav</w:t>
      </w:r>
      <w:proofErr w:type="spellEnd"/>
      <w:r w:rsidR="0073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(2020) são mais céticos sobre a extensão do potencial da substituição de força-de-trabalho</w:t>
      </w:r>
      <w:r w:rsidR="005D6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preferindo apontar para as transformações qualitativas e para a geração de precarização no processo de desenvolvimento e adoção dessa tecnologia. </w:t>
      </w:r>
    </w:p>
    <w:p w14:paraId="0E30F13D" w14:textId="0A852325" w:rsidR="00730E3B" w:rsidRDefault="005D6526" w:rsidP="007A6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 uma perspectiva marxista,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Steinhoff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(2021) também olha para os efeitos da IA e da automação no processo de trabalho, reforçando o papel central do trabalho e dos trabalhadores no seu desenvolvimento. </w:t>
      </w:r>
      <w:proofErr w:type="spellStart"/>
      <w:r w:rsidR="00A93ED4">
        <w:rPr>
          <w:rFonts w:ascii="Times New Roman" w:eastAsia="Times New Roman" w:hAnsi="Times New Roman" w:cs="Times New Roman"/>
          <w:color w:val="000000"/>
          <w:sz w:val="24"/>
          <w:szCs w:val="24"/>
        </w:rPr>
        <w:t>Carchedi</w:t>
      </w:r>
      <w:proofErr w:type="spellEnd"/>
      <w:r w:rsidR="00A93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(2023) classifica essa tecnologia como meios de produção mentais</w:t>
      </w:r>
      <w:r w:rsidR="00C6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têm valor por serem resultado de trabalho humano e contribuem para produzir mais-valia par ao capital. </w:t>
      </w:r>
      <w:r w:rsidR="008C6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literatura crescente tem também observado os </w:t>
      </w:r>
      <w:r w:rsidR="003B7D7A">
        <w:rPr>
          <w:rFonts w:ascii="Times New Roman" w:eastAsia="Times New Roman" w:hAnsi="Times New Roman" w:cs="Times New Roman"/>
          <w:color w:val="000000"/>
          <w:sz w:val="24"/>
          <w:szCs w:val="24"/>
        </w:rPr>
        <w:t>problemas dos</w:t>
      </w:r>
      <w:r w:rsidR="008C6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efeitos da IA não somente na adoção em locais de trabalho existentes, mas nas suas redes globais de produção</w:t>
      </w:r>
      <w:r w:rsidR="009B3624">
        <w:rPr>
          <w:rFonts w:ascii="Times New Roman" w:eastAsia="Times New Roman" w:hAnsi="Times New Roman" w:cs="Times New Roman"/>
          <w:color w:val="000000"/>
          <w:sz w:val="24"/>
          <w:szCs w:val="24"/>
        </w:rPr>
        <w:t>, em plataformas de trabalho remoto online (</w:t>
      </w:r>
      <w:r w:rsidR="0099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cloudwork) ou em empresas de </w:t>
      </w:r>
      <w:r w:rsidR="003B7D7A">
        <w:rPr>
          <w:rFonts w:ascii="Times New Roman" w:eastAsia="Times New Roman" w:hAnsi="Times New Roman" w:cs="Times New Roman"/>
          <w:color w:val="000000"/>
          <w:sz w:val="24"/>
          <w:szCs w:val="24"/>
        </w:rPr>
        <w:t>terceirização</w:t>
      </w:r>
      <w:r w:rsidR="0099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serviços de dados</w:t>
      </w:r>
      <w:r w:rsidR="009B3624">
        <w:rPr>
          <w:rFonts w:ascii="Times New Roman" w:eastAsia="Times New Roman" w:hAnsi="Times New Roman" w:cs="Times New Roman"/>
          <w:color w:val="000000"/>
          <w:sz w:val="24"/>
          <w:szCs w:val="24"/>
        </w:rPr>
        <w:t>. Entre</w:t>
      </w:r>
      <w:r w:rsidR="005F3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questões </w:t>
      </w:r>
      <w:r w:rsidR="003B7D7A">
        <w:rPr>
          <w:rFonts w:ascii="Times New Roman" w:eastAsia="Times New Roman" w:hAnsi="Times New Roman" w:cs="Times New Roman"/>
          <w:color w:val="000000"/>
          <w:sz w:val="24"/>
          <w:szCs w:val="24"/>
        </w:rPr>
        <w:t>vividas</w:t>
      </w:r>
      <w:r w:rsidR="005F3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trabalhadores estão</w:t>
      </w:r>
      <w:r w:rsidR="00D4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624">
        <w:rPr>
          <w:rFonts w:ascii="Times New Roman" w:eastAsia="Times New Roman" w:hAnsi="Times New Roman" w:cs="Times New Roman"/>
          <w:color w:val="000000"/>
          <w:sz w:val="24"/>
          <w:szCs w:val="24"/>
        </w:rPr>
        <w:t>contratos</w:t>
      </w:r>
      <w:r w:rsidR="00D4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precários</w:t>
      </w:r>
      <w:r w:rsidR="009B3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muitas vezes</w:t>
      </w:r>
      <w:r w:rsidR="00D4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 direito a garantias trabalhistas</w:t>
      </w:r>
      <w:r w:rsidR="005F3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baixa remuneração, ausência de proteções de saúde e segurança, gestão </w:t>
      </w:r>
      <w:r w:rsidR="00521E20">
        <w:rPr>
          <w:rFonts w:ascii="Times New Roman" w:eastAsia="Times New Roman" w:hAnsi="Times New Roman" w:cs="Times New Roman"/>
          <w:color w:val="000000"/>
          <w:sz w:val="24"/>
          <w:szCs w:val="24"/>
        </w:rPr>
        <w:t>automatizada sem transparência e barreiras à organização e negociação coletiva</w:t>
      </w:r>
      <w:r w:rsidR="008C6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36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Fairwork, 2023; </w:t>
      </w:r>
      <w:r w:rsidR="004B362C">
        <w:rPr>
          <w:rFonts w:ascii="Times New Roman" w:eastAsia="Times New Roman" w:hAnsi="Times New Roman" w:cs="Times New Roman"/>
          <w:color w:val="000000"/>
          <w:sz w:val="24"/>
          <w:szCs w:val="24"/>
        </w:rPr>
        <w:t>Braz et al., 2024)</w:t>
      </w:r>
      <w:r w:rsidR="00521E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4837DE" w14:textId="33A75C3E" w:rsidR="00CD3BA5" w:rsidRDefault="00174596" w:rsidP="007A6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 últimas décadas, a resposta aos problemas causados pela IA era </w:t>
      </w:r>
      <w:r w:rsidR="00A15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enquadrada, sobretudo, como uma demanda de abordagens “éticas”. Entretanto, a insuficiência dessa abordagem e das iniciativas supostamente “éticas” de desenvolvedores de IA, especialmente as grandes corporações, têm ensejado um giro para o reconhecimento da necessidade de regulação </w:t>
      </w:r>
      <w:r w:rsidR="00C2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governança </w:t>
      </w:r>
      <w:r w:rsidR="00A1513B">
        <w:rPr>
          <w:rFonts w:ascii="Times New Roman" w:eastAsia="Times New Roman" w:hAnsi="Times New Roman" w:cs="Times New Roman"/>
          <w:color w:val="000000"/>
          <w:sz w:val="24"/>
          <w:szCs w:val="24"/>
        </w:rPr>
        <w:t>desses sistemas</w:t>
      </w:r>
      <w:r w:rsidR="00710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10001">
        <w:rPr>
          <w:rFonts w:ascii="Times New Roman" w:eastAsia="Times New Roman" w:hAnsi="Times New Roman" w:cs="Times New Roman"/>
          <w:color w:val="000000"/>
          <w:sz w:val="24"/>
          <w:szCs w:val="24"/>
        </w:rPr>
        <w:t>Smuha</w:t>
      </w:r>
      <w:proofErr w:type="spellEnd"/>
      <w:r w:rsidR="00710001">
        <w:rPr>
          <w:rFonts w:ascii="Times New Roman" w:eastAsia="Times New Roman" w:hAnsi="Times New Roman" w:cs="Times New Roman"/>
          <w:color w:val="000000"/>
          <w:sz w:val="24"/>
          <w:szCs w:val="24"/>
        </w:rPr>
        <w:t>, 2021)</w:t>
      </w:r>
      <w:r w:rsidR="00A151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Iniciativas tem crescido tanto em âmbito das legislações nacionais (como é caso do debate corrente no Brasil</w:t>
      </w:r>
      <w:r w:rsidR="0056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 aprovação do Ato de IA </w:t>
      </w:r>
      <w:r w:rsidR="005664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 União Europeia) quanto em proposições sobre </w:t>
      </w:r>
      <w:r w:rsidR="009D7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56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governança </w:t>
      </w:r>
      <w:r w:rsidR="009D7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global de IA, como o relatório Governando a IA para a Humanidade (Nações Unidas, 2024). </w:t>
      </w:r>
    </w:p>
    <w:p w14:paraId="79F6F24D" w14:textId="21558D05" w:rsidR="009D714C" w:rsidRDefault="00A4095A" w:rsidP="007A6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Partindo desse contexto, o</w:t>
      </w:r>
      <w:r w:rsidR="0082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 trabalho interroga </w:t>
      </w:r>
      <w:r w:rsidR="00C67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que maneira esse giro regulatório e de governança tem enquadrado o tema do trabalho e de que maneira as soluções propostas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dão respostas concretas aos desafios postos aos trabalhadores</w:t>
      </w:r>
      <w:r w:rsidR="00181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42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isso, </w:t>
      </w:r>
      <w:r w:rsidR="000D6428">
        <w:rPr>
          <w:rFonts w:ascii="Times New Roman" w:eastAsia="Times New Roman" w:hAnsi="Times New Roman" w:cs="Times New Roman"/>
          <w:color w:val="000000"/>
          <w:sz w:val="24"/>
          <w:szCs w:val="24"/>
        </w:rPr>
        <w:t>analisará o tema em duas dimensões: nacional e internacional</w:t>
      </w:r>
      <w:r w:rsidR="00B040A1">
        <w:rPr>
          <w:rFonts w:ascii="Times New Roman" w:eastAsia="Times New Roman" w:hAnsi="Times New Roman" w:cs="Times New Roman"/>
          <w:color w:val="000000"/>
          <w:sz w:val="24"/>
          <w:szCs w:val="24"/>
        </w:rPr>
        <w:t>, em estudos de caso sobre iniciativas de regulação e governança para essa tecnologia.</w:t>
      </w:r>
      <w:r w:rsidR="0057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F7C073" w14:textId="77777777" w:rsidR="00EB3C4F" w:rsidRDefault="00EB3C4F" w:rsidP="00EB3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E0CB437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</w:p>
    <w:p w14:paraId="04D08B9E" w14:textId="548C6F65" w:rsidR="001C386B" w:rsidRDefault="00893736" w:rsidP="007100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proposta apresentada na seção anterior será estruturada em cima a partir de um marco teórico-metodológico da teoria do valor-trabalho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acerca das formas pelas quais a IA afeta o processo de trabalho sob o capitalismo e, em um menor nível de abstração, de que maneira esse impacto configura desafios aos </w:t>
      </w:r>
      <w:r w:rsidR="003B7D7A">
        <w:rPr>
          <w:rFonts w:ascii="Times New Roman" w:eastAsia="Times New Roman" w:hAnsi="Times New Roman" w:cs="Times New Roman"/>
          <w:color w:val="000000"/>
          <w:sz w:val="24"/>
          <w:szCs w:val="24"/>
        </w:rPr>
        <w:t>trabalhadores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termos de trabalho decente e das assimetrias de poder na contradição capital-trabalho. </w:t>
      </w:r>
    </w:p>
    <w:p w14:paraId="38F22AD3" w14:textId="64046E00" w:rsidR="00981D7D" w:rsidRDefault="00981D7D" w:rsidP="007100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análise dos impactos será observada tanto no processo de desenvolvimento, no qual há trabalhadores </w:t>
      </w:r>
      <w:r w:rsidR="00280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diversas tarefas e submetidos a relações precárias, quanto na adoção e desenvolvimento em outras atividades. Será adotado o método dos estudos de caso, </w:t>
      </w:r>
      <w:r w:rsidR="00181917">
        <w:rPr>
          <w:rFonts w:ascii="Times New Roman" w:eastAsia="Times New Roman" w:hAnsi="Times New Roman" w:cs="Times New Roman"/>
          <w:color w:val="000000"/>
          <w:sz w:val="24"/>
          <w:szCs w:val="24"/>
        </w:rPr>
        <w:t>observando um de âmbito nacional e outro, internacional. No primeiro, a análise tomará o Projeto de Lei No 2.338 de 2023, que regula a Inteligência Artificial no Brasil.</w:t>
      </w:r>
      <w:r w:rsidR="00391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segundo, será examinada a proposta de governança global do Conselho Assessor das Nações Unidas </w:t>
      </w:r>
      <w:r w:rsidR="00191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“Governando a IA para a Humanidade”. </w:t>
      </w:r>
    </w:p>
    <w:p w14:paraId="368D3377" w14:textId="01187577" w:rsidR="00191209" w:rsidRDefault="00191209" w:rsidP="007100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</w:t>
      </w:r>
      <w:r w:rsidR="003B0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empregadas as seguintes categorias de análise: 1) a inclusão ou não do tema do trabalho, 2) a abordagem sobre trabalho e IA, 3) o tratamento </w:t>
      </w:r>
      <w:r w:rsidR="00B84883">
        <w:rPr>
          <w:rFonts w:ascii="Times New Roman" w:eastAsia="Times New Roman" w:hAnsi="Times New Roman" w:cs="Times New Roman"/>
          <w:color w:val="000000"/>
          <w:sz w:val="24"/>
          <w:szCs w:val="24"/>
        </w:rPr>
        <w:t>das relações laborais e dos direitos dos trabalhadores</w:t>
      </w:r>
      <w:r w:rsidR="003B0454">
        <w:rPr>
          <w:rFonts w:ascii="Times New Roman" w:eastAsia="Times New Roman" w:hAnsi="Times New Roman" w:cs="Times New Roman"/>
          <w:color w:val="000000"/>
          <w:sz w:val="24"/>
          <w:szCs w:val="24"/>
        </w:rPr>
        <w:t>, 4) a</w:t>
      </w:r>
      <w:r w:rsidR="00B84883">
        <w:rPr>
          <w:rFonts w:ascii="Times New Roman" w:eastAsia="Times New Roman" w:hAnsi="Times New Roman" w:cs="Times New Roman"/>
          <w:color w:val="000000"/>
          <w:sz w:val="24"/>
          <w:szCs w:val="24"/>
        </w:rPr>
        <w:t>s soluções de</w:t>
      </w:r>
      <w:r w:rsidR="003B0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mitigação de </w:t>
      </w:r>
      <w:r w:rsidR="00B8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efeitos deletérios causados pela IA sobre os trabalhadores.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Será adotada a técnica da análise documental </w:t>
      </w:r>
      <w:r w:rsidR="00B8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Projeto de Lei e do relatório escolhidos como estudos de caso. Esse exame será contrastado com a literatura </w:t>
      </w:r>
      <w:r w:rsidR="00F6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desafios dos trabalhadores sobre o tema. </w:t>
      </w:r>
    </w:p>
    <w:p w14:paraId="742EC513" w14:textId="0F483BFE" w:rsidR="001C386B" w:rsidRDefault="001C38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000555" w14:textId="77777777" w:rsidR="001C386B" w:rsidRDefault="001C38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D95567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53E57D8" w14:textId="77777777" w:rsidR="007231BE" w:rsidRDefault="007231BE" w:rsidP="007671F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7FE4AD07" w14:textId="33B6C207" w:rsidR="00FF7ABB" w:rsidRPr="007231BE" w:rsidRDefault="007231BE" w:rsidP="007671F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7231B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BRAZ, Matheus Viana; TUBARO, Paola; CASILLI, Antonio A. Making Data: The Work Behind Artificial Intelligence. </w:t>
      </w:r>
      <w:proofErr w:type="spellStart"/>
      <w:r w:rsidRPr="00723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arXiv</w:t>
      </w:r>
      <w:proofErr w:type="spellEnd"/>
      <w:r w:rsidRPr="00723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preprint </w:t>
      </w:r>
      <w:proofErr w:type="spellStart"/>
      <w:r w:rsidRPr="00723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arXiv:2410.03694</w:t>
      </w:r>
      <w:proofErr w:type="spellEnd"/>
      <w:r w:rsidRPr="007231B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2024.</w:t>
      </w:r>
    </w:p>
    <w:p w14:paraId="5011BE24" w14:textId="6287A5AC" w:rsidR="004321E6" w:rsidRDefault="008E6AD9" w:rsidP="008E6AD9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E6AD9">
        <w:rPr>
          <w:rFonts w:ascii="Times New Roman" w:eastAsia="Times New Roman" w:hAnsi="Times New Roman" w:cs="Times New Roman"/>
          <w:color w:val="000000"/>
          <w:sz w:val="24"/>
          <w:szCs w:val="24"/>
        </w:rPr>
        <w:t>CARCHEDI</w:t>
      </w:r>
      <w:proofErr w:type="spellEnd"/>
      <w:r w:rsidRPr="008E6AD9">
        <w:rPr>
          <w:rFonts w:ascii="Times New Roman" w:eastAsia="Times New Roman" w:hAnsi="Times New Roman" w:cs="Times New Roman"/>
          <w:color w:val="000000"/>
          <w:sz w:val="24"/>
          <w:szCs w:val="24"/>
        </w:rPr>
        <w:t>, Guglielmo (2023). ChatGPT, valor e conhecimento. In: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&lt;https://mail.google.com/mail/u/0/#inbox/FMfcgzGsmrGglvFFZVjNbXkDmvHFJkMS?projector=1&amp;messagePartld=0.1&gt; Acesso em </w:t>
      </w:r>
      <w:r w:rsidR="00724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nov. </w:t>
      </w:r>
      <w:r w:rsidRPr="008E6AD9"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</w:p>
    <w:p w14:paraId="5016301E" w14:textId="330199CA" w:rsidR="00724F0D" w:rsidRPr="008E6AD9" w:rsidRDefault="00724F0D" w:rsidP="008E6AD9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F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FRANKISH, Keith; RAMSEY, William M. (Ed.). </w:t>
      </w:r>
      <w:r w:rsidRPr="0072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The Cambridge handbook of artificial intelligence</w:t>
      </w:r>
      <w:r w:rsidRPr="00724F0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724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Cambridge </w:t>
      </w:r>
      <w:proofErr w:type="spellStart"/>
      <w:r w:rsidRPr="00724F0D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724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Press, 2014.</w:t>
      </w:r>
    </w:p>
    <w:p w14:paraId="6E86D931" w14:textId="59B75543" w:rsidR="00E3645D" w:rsidRPr="008E6AD9" w:rsidRDefault="00E3645D" w:rsidP="007671F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E6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FAIRWORK. </w:t>
      </w:r>
      <w:r w:rsidR="008E6AD9" w:rsidRPr="008E6A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Fairwork Cloudwork Scorings 2023</w:t>
      </w:r>
      <w:r w:rsidR="008E6A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work in the planetar</w:t>
      </w:r>
      <w:r w:rsidR="00CD3BA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y market. Oxford, 2023. </w:t>
      </w:r>
    </w:p>
    <w:p w14:paraId="2364BF4C" w14:textId="7F07EFC8" w:rsidR="007671FC" w:rsidRPr="00710001" w:rsidRDefault="007231BE" w:rsidP="007671F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E6A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REUTERS</w:t>
      </w:r>
      <w:r w:rsidR="00F579FF" w:rsidRPr="008E6A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7671FC" w:rsidRPr="007671F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OpenAI says ChatGPT's weekly users have grown to 200 million</w:t>
      </w:r>
      <w:r w:rsidR="007671F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7671FC" w:rsidRPr="007671FC">
        <w:rPr>
          <w:rFonts w:ascii="Times New Roman" w:eastAsia="Times New Roman" w:hAnsi="Times New Roman" w:cs="Times New Roman"/>
          <w:color w:val="000000"/>
          <w:sz w:val="24"/>
          <w:szCs w:val="24"/>
        </w:rPr>
        <w:t>Agência Reuters</w:t>
      </w:r>
      <w:r w:rsidR="00FF7ABB">
        <w:rPr>
          <w:rFonts w:ascii="Times New Roman" w:eastAsia="Times New Roman" w:hAnsi="Times New Roman" w:cs="Times New Roman"/>
          <w:color w:val="000000"/>
          <w:sz w:val="24"/>
          <w:szCs w:val="24"/>
        </w:rPr>
        <w:t>, 29 agosto 2024</w:t>
      </w:r>
      <w:r w:rsidR="007671FC" w:rsidRPr="00767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Disponível: </w:t>
      </w:r>
      <w:hyperlink r:id="rId7" w:history="1">
        <w:r w:rsidR="007671FC" w:rsidRPr="00D25D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https://www.reuters.com/technology/artificial-intelligence/openai-says-chatgpts-weekly-users-have-grown-200-million-2024-08-29/#:~:text=Aug%2029%20(Reuters)%20%2D%20AI,in%20the%20last%20fall%20season</w:t>
        </w:r>
      </w:hyperlink>
      <w:r w:rsidR="007671FC" w:rsidRPr="007671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7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1FC" w:rsidRPr="0071000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Acesso</w:t>
      </w:r>
      <w:proofErr w:type="spellEnd"/>
      <w:r w:rsidR="007671FC" w:rsidRPr="0071000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: </w:t>
      </w:r>
      <w:r w:rsidR="00FF7ABB" w:rsidRPr="0071000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4 </w:t>
      </w:r>
      <w:proofErr w:type="spellStart"/>
      <w:r w:rsidR="00FF7ABB" w:rsidRPr="0071000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nov.</w:t>
      </w:r>
      <w:proofErr w:type="spellEnd"/>
      <w:r w:rsidR="00FF7ABB" w:rsidRPr="0071000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2024.</w:t>
      </w:r>
    </w:p>
    <w:p w14:paraId="2E19CADE" w14:textId="77777777" w:rsidR="001D0558" w:rsidRDefault="00710001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71000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SMUHA</w:t>
      </w:r>
      <w:proofErr w:type="spellEnd"/>
      <w:r w:rsidRPr="0071000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Nathalie A. From a ‘race to </w:t>
      </w:r>
      <w:proofErr w:type="spellStart"/>
      <w:r w:rsidRPr="0071000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AI’to</w:t>
      </w:r>
      <w:proofErr w:type="spellEnd"/>
      <w:r w:rsidRPr="0071000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 ‘race to AI regulation’: regulatory competition for artificial intelligence. </w:t>
      </w:r>
      <w:r w:rsidRPr="001D0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Law, Innovation and Technology</w:t>
      </w:r>
      <w:r w:rsidRPr="001D05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v. 13, n. 1, p. 57-84, 2021.</w:t>
      </w:r>
    </w:p>
    <w:p w14:paraId="5BD82EEA" w14:textId="5D8E1072" w:rsidR="00F579FF" w:rsidRPr="007671FC" w:rsidRDefault="001D055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5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STEINHOFF, James. </w:t>
      </w:r>
      <w:r w:rsidRPr="001D0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Automation and autonomy</w:t>
      </w:r>
      <w:r w:rsidRPr="001D05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1D0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Springer </w:t>
      </w:r>
      <w:proofErr w:type="spellStart"/>
      <w:r w:rsidRPr="001D0558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1D0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558">
        <w:rPr>
          <w:rFonts w:ascii="Times New Roman" w:eastAsia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1D0558">
        <w:rPr>
          <w:rFonts w:ascii="Times New Roman" w:eastAsia="Times New Roman" w:hAnsi="Times New Roman" w:cs="Times New Roman"/>
          <w:color w:val="000000"/>
          <w:sz w:val="24"/>
          <w:szCs w:val="24"/>
        </w:rPr>
        <w:t>, 2021.</w:t>
      </w:r>
    </w:p>
    <w:p w14:paraId="61B968A7" w14:textId="1457F514" w:rsidR="001C386B" w:rsidRDefault="001C386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1C386B" w:rsidSect="00C9727E">
      <w:headerReference w:type="default" r:id="rId8"/>
      <w:footerReference w:type="default" r:id="rId9"/>
      <w:pgSz w:w="11906" w:h="16838"/>
      <w:pgMar w:top="1985" w:right="1418" w:bottom="1418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77EF" w14:textId="77777777" w:rsidR="00604C6E" w:rsidRDefault="00604C6E">
      <w:pPr>
        <w:spacing w:after="0" w:line="240" w:lineRule="auto"/>
      </w:pPr>
      <w:r>
        <w:separator/>
      </w:r>
    </w:p>
  </w:endnote>
  <w:endnote w:type="continuationSeparator" w:id="0">
    <w:p w14:paraId="1D4CA3CE" w14:textId="77777777" w:rsidR="00604C6E" w:rsidRDefault="0060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85B9" w14:textId="77777777" w:rsidR="001C386B" w:rsidRDefault="00604C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DE7441" wp14:editId="311EB7DB">
              <wp:simplePos x="0" y="0"/>
              <wp:positionH relativeFrom="column">
                <wp:posOffset>5704840</wp:posOffset>
              </wp:positionH>
              <wp:positionV relativeFrom="paragraph">
                <wp:posOffset>123825</wp:posOffset>
              </wp:positionV>
              <wp:extent cx="540385" cy="238760"/>
              <wp:effectExtent l="19050" t="19050" r="16510" b="18415"/>
              <wp:wrapNone/>
              <wp:docPr id="2" name="Colchete Dup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38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802906" w14:textId="77777777" w:rsidR="003B7D7A" w:rsidRDefault="00604C6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E7441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lchete Duplo 2" o:spid="_x0000_s1026" type="#_x0000_t185" style="position:absolute;margin-left:449.2pt;margin-top:9.75pt;width:42.5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" filled="t" fillcolor="white [3212]" strokecolor="gray [1629]" strokeweight="2.25pt">
              <v:textbox inset=",0,,0">
                <w:txbxContent>
                  <w:p w14:paraId="02802906" w14:textId="77777777" w:rsidR="003B7D7A" w:rsidRDefault="00604C6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C3D8" w14:textId="77777777" w:rsidR="00604C6E" w:rsidRDefault="00604C6E">
      <w:pPr>
        <w:spacing w:after="0" w:line="240" w:lineRule="auto"/>
      </w:pPr>
      <w:r>
        <w:separator/>
      </w:r>
    </w:p>
  </w:footnote>
  <w:footnote w:type="continuationSeparator" w:id="0">
    <w:p w14:paraId="293E155A" w14:textId="77777777" w:rsidR="00604C6E" w:rsidRDefault="0060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FAC5D" w14:textId="77777777" w:rsidR="00C9727E" w:rsidRDefault="00C9727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BA79EF" wp14:editId="76E4C174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59158" cy="10692000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5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36664"/>
    <w:multiLevelType w:val="multilevel"/>
    <w:tmpl w:val="8844F9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4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6B"/>
    <w:rsid w:val="000D6428"/>
    <w:rsid w:val="00174596"/>
    <w:rsid w:val="001817E1"/>
    <w:rsid w:val="00181917"/>
    <w:rsid w:val="00191209"/>
    <w:rsid w:val="001C386B"/>
    <w:rsid w:val="001D0558"/>
    <w:rsid w:val="0025192F"/>
    <w:rsid w:val="0028087E"/>
    <w:rsid w:val="002A3BBF"/>
    <w:rsid w:val="00305A3E"/>
    <w:rsid w:val="00322E3B"/>
    <w:rsid w:val="00333119"/>
    <w:rsid w:val="003349D5"/>
    <w:rsid w:val="00391BCF"/>
    <w:rsid w:val="003B0454"/>
    <w:rsid w:val="003B7D7A"/>
    <w:rsid w:val="003E3127"/>
    <w:rsid w:val="004321E6"/>
    <w:rsid w:val="004431AE"/>
    <w:rsid w:val="004B362C"/>
    <w:rsid w:val="00507AC0"/>
    <w:rsid w:val="00521E20"/>
    <w:rsid w:val="0056640E"/>
    <w:rsid w:val="0057123C"/>
    <w:rsid w:val="005C4661"/>
    <w:rsid w:val="005D6526"/>
    <w:rsid w:val="005E484E"/>
    <w:rsid w:val="005F3D63"/>
    <w:rsid w:val="00604C6E"/>
    <w:rsid w:val="0064482C"/>
    <w:rsid w:val="00685A6B"/>
    <w:rsid w:val="006D6834"/>
    <w:rsid w:val="00710001"/>
    <w:rsid w:val="007231BE"/>
    <w:rsid w:val="00724F0D"/>
    <w:rsid w:val="00730E3B"/>
    <w:rsid w:val="007671FC"/>
    <w:rsid w:val="007A6A5F"/>
    <w:rsid w:val="00801C52"/>
    <w:rsid w:val="008214D5"/>
    <w:rsid w:val="00893736"/>
    <w:rsid w:val="008A792E"/>
    <w:rsid w:val="008C6761"/>
    <w:rsid w:val="008E6AD9"/>
    <w:rsid w:val="00922C45"/>
    <w:rsid w:val="0096344C"/>
    <w:rsid w:val="00981D7D"/>
    <w:rsid w:val="00993E73"/>
    <w:rsid w:val="009B3624"/>
    <w:rsid w:val="009D714C"/>
    <w:rsid w:val="00A05889"/>
    <w:rsid w:val="00A1513B"/>
    <w:rsid w:val="00A34030"/>
    <w:rsid w:val="00A4095A"/>
    <w:rsid w:val="00A5014C"/>
    <w:rsid w:val="00A93ED4"/>
    <w:rsid w:val="00AC395F"/>
    <w:rsid w:val="00AD088C"/>
    <w:rsid w:val="00B040A1"/>
    <w:rsid w:val="00B5085E"/>
    <w:rsid w:val="00B5105A"/>
    <w:rsid w:val="00B72F17"/>
    <w:rsid w:val="00B84883"/>
    <w:rsid w:val="00C114DC"/>
    <w:rsid w:val="00C2313E"/>
    <w:rsid w:val="00C27CE2"/>
    <w:rsid w:val="00C30B30"/>
    <w:rsid w:val="00C42EE7"/>
    <w:rsid w:val="00C4554B"/>
    <w:rsid w:val="00C61EBB"/>
    <w:rsid w:val="00C6721A"/>
    <w:rsid w:val="00C9727E"/>
    <w:rsid w:val="00CD3BA5"/>
    <w:rsid w:val="00D42FD0"/>
    <w:rsid w:val="00D77CBC"/>
    <w:rsid w:val="00DA3D44"/>
    <w:rsid w:val="00E3645D"/>
    <w:rsid w:val="00E43CF8"/>
    <w:rsid w:val="00EB3C4F"/>
    <w:rsid w:val="00EB5FC5"/>
    <w:rsid w:val="00EF44C9"/>
    <w:rsid w:val="00F42E67"/>
    <w:rsid w:val="00F579FF"/>
    <w:rsid w:val="00F604C8"/>
    <w:rsid w:val="00F7310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2A1A4D"/>
  <w15:docId w15:val="{2CD788A8-676E-4F68-8C88-78CC7046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9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27E"/>
  </w:style>
  <w:style w:type="paragraph" w:styleId="Footer">
    <w:name w:val="footer"/>
    <w:basedOn w:val="Normal"/>
    <w:link w:val="FooterChar"/>
    <w:uiPriority w:val="99"/>
    <w:unhideWhenUsed/>
    <w:rsid w:val="00C9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27E"/>
  </w:style>
  <w:style w:type="character" w:styleId="Hyperlink">
    <w:name w:val="Hyperlink"/>
    <w:basedOn w:val="DefaultParagraphFont"/>
    <w:uiPriority w:val="99"/>
    <w:unhideWhenUsed/>
    <w:rsid w:val="007671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uters.com/technology/artificial-intelligence/openai-says-chatgpts-weekly-users-have-grown-200-million-2024-08-29/#:~:text=Aug%2029%20(Reuters)%20%2D%20AI,in%20the%20last%20fall%20sea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1173</Words>
  <Characters>7060</Characters>
  <Application>Microsoft Office Word</Application>
  <DocSecurity>0</DocSecurity>
  <Lines>119</Lines>
  <Paragraphs>30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Valente</dc:creator>
  <cp:lastModifiedBy>Jonas Valente</cp:lastModifiedBy>
  <cp:revision>7</cp:revision>
  <dcterms:created xsi:type="dcterms:W3CDTF">2024-11-04T23:42:00Z</dcterms:created>
  <dcterms:modified xsi:type="dcterms:W3CDTF">2024-11-05T08:55:00Z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347accc85ca42321138860927f724dc2a7448ef07b9dcc768f987918364daf90</vt:lpwstr>
  </property>
</Properties>
</file>